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FC" w:rsidRDefault="00666531">
      <w:pPr>
        <w:jc w:val="right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>__________________</w:t>
      </w:r>
      <w:r w:rsidR="00015658">
        <w:rPr>
          <w:rFonts w:eastAsia="Times New Roman"/>
          <w:sz w:val="24"/>
          <w:szCs w:val="24"/>
        </w:rPr>
        <w:t>_____________________</w:t>
      </w:r>
    </w:p>
    <w:p w:rsidR="008153FC" w:rsidRDefault="00666531" w:rsidP="00666531">
      <w:pPr>
        <w:spacing w:line="235" w:lineRule="auto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015658">
        <w:rPr>
          <w:rFonts w:eastAsia="Times New Roman"/>
          <w:sz w:val="16"/>
          <w:szCs w:val="16"/>
        </w:rPr>
        <w:t>Прізвище, ім’я, по-батькові абонента</w:t>
      </w:r>
    </w:p>
    <w:p w:rsidR="008153FC" w:rsidRDefault="008153FC">
      <w:pPr>
        <w:spacing w:line="325" w:lineRule="exact"/>
        <w:rPr>
          <w:sz w:val="24"/>
          <w:szCs w:val="24"/>
        </w:rPr>
      </w:pPr>
    </w:p>
    <w:p w:rsidR="008153FC" w:rsidRDefault="00015658">
      <w:pPr>
        <w:spacing w:line="274" w:lineRule="auto"/>
        <w:ind w:left="4380" w:right="880" w:hanging="349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Заява на міграцію абонентів «ВФ Передплата» на контрактну форму обслуговування</w:t>
      </w:r>
    </w:p>
    <w:p w:rsidR="008153FC" w:rsidRDefault="008153FC">
      <w:pPr>
        <w:spacing w:line="140" w:lineRule="exact"/>
        <w:rPr>
          <w:sz w:val="24"/>
          <w:szCs w:val="24"/>
        </w:rPr>
      </w:pPr>
    </w:p>
    <w:p w:rsidR="008153FC" w:rsidRDefault="00015658">
      <w:pPr>
        <w:spacing w:line="251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Я, _____________________________________, прошу перевести картку передплаченої послуги стільникового зв’язку «ВФ Передплата», якій присвоєно телефонний номер __________________, на контрактні умови обслуговування на підставі Договору про надання послуг мобільного зв’язку, укладеного в письмовій формі (надалі – контрактне обслуговування) зі збереженням телефонного номеру та SIM-картки.</w:t>
      </w:r>
    </w:p>
    <w:p w:rsidR="008153FC" w:rsidRDefault="008153FC">
      <w:pPr>
        <w:spacing w:line="190" w:lineRule="exact"/>
        <w:rPr>
          <w:sz w:val="24"/>
          <w:szCs w:val="24"/>
        </w:rPr>
      </w:pPr>
    </w:p>
    <w:p w:rsidR="008153FC" w:rsidRDefault="00015658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Договір про надання послуг мобільного зв'язку №___________/___________, підписаний мною особисто, додається.</w:t>
      </w:r>
    </w:p>
    <w:p w:rsidR="008153FC" w:rsidRDefault="008153FC">
      <w:pPr>
        <w:spacing w:line="231" w:lineRule="exact"/>
        <w:rPr>
          <w:sz w:val="24"/>
          <w:szCs w:val="24"/>
        </w:rPr>
      </w:pPr>
    </w:p>
    <w:p w:rsidR="008153FC" w:rsidRDefault="00015658">
      <w:pPr>
        <w:spacing w:line="268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Цією заявою я підтверджую, що картка передплаченої послуги стільникового зв’язку «</w:t>
      </w:r>
      <w:r w:rsidR="001052CB">
        <w:rPr>
          <w:rFonts w:eastAsia="Times New Roman"/>
          <w:sz w:val="20"/>
          <w:szCs w:val="20"/>
        </w:rPr>
        <w:t>ВФ</w:t>
      </w:r>
      <w:r>
        <w:rPr>
          <w:rFonts w:eastAsia="Times New Roman"/>
          <w:sz w:val="20"/>
          <w:szCs w:val="20"/>
        </w:rPr>
        <w:t xml:space="preserve"> Передплата», яка підлягає переведенню на контрактне обслуговування на підставі цієї заяви, належить мені.</w:t>
      </w:r>
    </w:p>
    <w:p w:rsidR="008153FC" w:rsidRDefault="008153FC">
      <w:pPr>
        <w:spacing w:line="173" w:lineRule="exact"/>
        <w:rPr>
          <w:sz w:val="24"/>
          <w:szCs w:val="24"/>
        </w:rPr>
      </w:pPr>
    </w:p>
    <w:p w:rsidR="008153FC" w:rsidRDefault="00015658">
      <w:pPr>
        <w:spacing w:line="273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 правилами укладення Договору про надання послуг мобільного зв’язку та «Умовами користування мережами моб</w:t>
      </w:r>
      <w:r w:rsidR="00274402">
        <w:rPr>
          <w:rFonts w:eastAsia="Times New Roman"/>
          <w:sz w:val="20"/>
          <w:szCs w:val="20"/>
        </w:rPr>
        <w:t>ільно зв’язку ПрАТ «ВФ УКРАЇНА»</w:t>
      </w:r>
      <w:r>
        <w:rPr>
          <w:rFonts w:eastAsia="Times New Roman"/>
          <w:sz w:val="20"/>
          <w:szCs w:val="20"/>
        </w:rPr>
        <w:t xml:space="preserve"> в письмовій формі ознайомлений і погоджуюсь.</w:t>
      </w:r>
    </w:p>
    <w:p w:rsidR="008153FC" w:rsidRDefault="008153FC">
      <w:pPr>
        <w:spacing w:line="149" w:lineRule="exact"/>
        <w:rPr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5056"/>
      </w:tblGrid>
      <w:tr w:rsidR="008153FC" w:rsidTr="00274402">
        <w:trPr>
          <w:trHeight w:val="230"/>
        </w:trPr>
        <w:tc>
          <w:tcPr>
            <w:tcW w:w="3580" w:type="dxa"/>
            <w:vAlign w:val="bottom"/>
          </w:tcPr>
          <w:p w:rsidR="00274402" w:rsidRDefault="00274402">
            <w:pPr>
              <w:spacing w:line="229" w:lineRule="exact"/>
              <w:ind w:right="1597"/>
              <w:jc w:val="right"/>
              <w:rPr>
                <w:rFonts w:eastAsia="Times New Roman"/>
                <w:sz w:val="20"/>
                <w:szCs w:val="20"/>
              </w:rPr>
            </w:pPr>
          </w:p>
          <w:p w:rsidR="008153FC" w:rsidRPr="00274402" w:rsidRDefault="00274402">
            <w:pPr>
              <w:spacing w:line="229" w:lineRule="exact"/>
              <w:ind w:right="15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</w:t>
            </w:r>
          </w:p>
        </w:tc>
        <w:tc>
          <w:tcPr>
            <w:tcW w:w="5056" w:type="dxa"/>
            <w:vAlign w:val="bottom"/>
          </w:tcPr>
          <w:p w:rsidR="008153FC" w:rsidRDefault="00015658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</w:t>
            </w:r>
          </w:p>
        </w:tc>
      </w:tr>
      <w:tr w:rsidR="008153FC" w:rsidTr="00274402">
        <w:trPr>
          <w:trHeight w:val="168"/>
        </w:trPr>
        <w:tc>
          <w:tcPr>
            <w:tcW w:w="3580" w:type="dxa"/>
            <w:vAlign w:val="bottom"/>
          </w:tcPr>
          <w:p w:rsidR="008153FC" w:rsidRDefault="00015658">
            <w:pPr>
              <w:ind w:right="23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дата</w:t>
            </w:r>
          </w:p>
        </w:tc>
        <w:tc>
          <w:tcPr>
            <w:tcW w:w="5056" w:type="dxa"/>
            <w:vAlign w:val="bottom"/>
          </w:tcPr>
          <w:p w:rsidR="008153FC" w:rsidRDefault="00666531" w:rsidP="00666531">
            <w:pPr>
              <w:ind w:right="39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 xml:space="preserve">                                                                                             </w:t>
            </w:r>
            <w:r w:rsidR="00015658">
              <w:rPr>
                <w:rFonts w:eastAsia="Times New Roman"/>
                <w:sz w:val="13"/>
                <w:szCs w:val="13"/>
              </w:rPr>
              <w:t>підпис</w:t>
            </w:r>
          </w:p>
        </w:tc>
      </w:tr>
    </w:tbl>
    <w:p w:rsidR="008153FC" w:rsidRDefault="008153FC">
      <w:pPr>
        <w:spacing w:line="311" w:lineRule="exact"/>
        <w:rPr>
          <w:sz w:val="24"/>
          <w:szCs w:val="24"/>
        </w:rPr>
      </w:pPr>
    </w:p>
    <w:p w:rsidR="008153FC" w:rsidRDefault="00015658">
      <w:pPr>
        <w:spacing w:line="274" w:lineRule="auto"/>
        <w:ind w:left="3940" w:right="360" w:hanging="2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Правила переведення картки послуги «ВФ Передплата» на контрактну форму обслуговування</w:t>
      </w:r>
    </w:p>
    <w:p w:rsidR="008153FC" w:rsidRDefault="008153FC">
      <w:pPr>
        <w:spacing w:line="154" w:lineRule="exact"/>
        <w:rPr>
          <w:sz w:val="24"/>
          <w:szCs w:val="24"/>
        </w:rPr>
      </w:pPr>
    </w:p>
    <w:p w:rsidR="008153FC" w:rsidRDefault="00015658">
      <w:pPr>
        <w:numPr>
          <w:ilvl w:val="0"/>
          <w:numId w:val="1"/>
        </w:numPr>
        <w:tabs>
          <w:tab w:val="left" w:pos="420"/>
        </w:tabs>
        <w:spacing w:line="264" w:lineRule="auto"/>
        <w:ind w:left="420" w:hanging="41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Абонент «ВФ Передплата» має можливість перейти на контрактну форму обслуговування. Контрактне обслуговування надається зі збереженням телефонного номеру, який був у абонента під час користування послугою «ВФ Передплата». При цьому SIM-картка послуги «ВФ Передплата» абонента не змінюється.</w:t>
      </w:r>
    </w:p>
    <w:p w:rsidR="008153FC" w:rsidRDefault="008153FC">
      <w:pPr>
        <w:spacing w:line="13" w:lineRule="exact"/>
        <w:rPr>
          <w:rFonts w:eastAsia="Times New Roman"/>
          <w:sz w:val="20"/>
          <w:szCs w:val="20"/>
        </w:rPr>
      </w:pPr>
    </w:p>
    <w:p w:rsidR="008153FC" w:rsidRDefault="00015658">
      <w:pPr>
        <w:numPr>
          <w:ilvl w:val="0"/>
          <w:numId w:val="1"/>
        </w:numPr>
        <w:tabs>
          <w:tab w:val="left" w:pos="420"/>
        </w:tabs>
        <w:ind w:left="420" w:hanging="41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момент </w:t>
      </w:r>
      <w:r>
        <w:rPr>
          <w:rFonts w:eastAsia="Times New Roman"/>
          <w:sz w:val="20"/>
          <w:szCs w:val="20"/>
          <w:u w:val="single"/>
        </w:rPr>
        <w:t>здійснення переведення</w:t>
      </w:r>
      <w:r>
        <w:rPr>
          <w:rFonts w:eastAsia="Times New Roman"/>
          <w:sz w:val="20"/>
          <w:szCs w:val="20"/>
        </w:rPr>
        <w:t xml:space="preserve"> послуга «ВФ Передплата» повинна бути активною</w:t>
      </w:r>
      <w:r w:rsidR="00274402">
        <w:rPr>
          <w:rFonts w:eastAsia="Times New Roman"/>
          <w:sz w:val="20"/>
          <w:szCs w:val="20"/>
        </w:rPr>
        <w:t>.</w:t>
      </w:r>
    </w:p>
    <w:p w:rsidR="008153FC" w:rsidRDefault="008153FC">
      <w:pPr>
        <w:spacing w:line="77" w:lineRule="exact"/>
        <w:rPr>
          <w:rFonts w:eastAsia="Times New Roman"/>
          <w:sz w:val="20"/>
          <w:szCs w:val="20"/>
        </w:rPr>
      </w:pPr>
    </w:p>
    <w:p w:rsidR="008153FC" w:rsidRDefault="00015658">
      <w:pPr>
        <w:numPr>
          <w:ilvl w:val="0"/>
          <w:numId w:val="1"/>
        </w:numPr>
        <w:tabs>
          <w:tab w:val="left" w:pos="420"/>
        </w:tabs>
        <w:spacing w:line="264" w:lineRule="auto"/>
        <w:ind w:left="420" w:hanging="41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SIM-картка переведеного абонента активується на стандартних умовах, передбачених для контрактної форми обслуговування. Абонент при переведенні може вибрати будь-який тарифний план та набір послуг, </w:t>
      </w:r>
      <w:r>
        <w:rPr>
          <w:rFonts w:eastAsia="Times New Roman"/>
          <w:sz w:val="20"/>
          <w:szCs w:val="20"/>
          <w:u w:val="single"/>
        </w:rPr>
        <w:t>що пропонуються</w:t>
      </w:r>
      <w:r>
        <w:rPr>
          <w:rFonts w:eastAsia="Times New Roman"/>
          <w:sz w:val="20"/>
          <w:szCs w:val="20"/>
        </w:rPr>
        <w:t xml:space="preserve"> новим контрактним абонентам.</w:t>
      </w:r>
    </w:p>
    <w:p w:rsidR="008153FC" w:rsidRDefault="008153FC">
      <w:pPr>
        <w:spacing w:line="18" w:lineRule="exact"/>
        <w:rPr>
          <w:rFonts w:eastAsia="Times New Roman"/>
          <w:sz w:val="20"/>
          <w:szCs w:val="20"/>
        </w:rPr>
      </w:pPr>
    </w:p>
    <w:p w:rsidR="008153FC" w:rsidRDefault="00015658">
      <w:pPr>
        <w:numPr>
          <w:ilvl w:val="0"/>
          <w:numId w:val="1"/>
        </w:numPr>
        <w:tabs>
          <w:tab w:val="left" w:pos="420"/>
        </w:tabs>
        <w:spacing w:line="278" w:lineRule="auto"/>
        <w:ind w:left="420" w:hanging="41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Для активації телефонного номера на умовах контрактного обслуговування абонент повинен внести аванс, що </w:t>
      </w:r>
      <w:r>
        <w:rPr>
          <w:rFonts w:eastAsia="Times New Roman"/>
          <w:sz w:val="20"/>
          <w:szCs w:val="20"/>
          <w:u w:val="single"/>
        </w:rPr>
        <w:t>відповідає</w:t>
      </w:r>
      <w:r>
        <w:rPr>
          <w:rFonts w:eastAsia="Times New Roman"/>
          <w:sz w:val="20"/>
          <w:szCs w:val="20"/>
        </w:rPr>
        <w:t xml:space="preserve"> обраному тарифному пакету та обраним послугам.</w:t>
      </w:r>
    </w:p>
    <w:p w:rsidR="008153FC" w:rsidRDefault="008153FC">
      <w:pPr>
        <w:spacing w:line="4" w:lineRule="exact"/>
        <w:rPr>
          <w:rFonts w:eastAsia="Times New Roman"/>
          <w:sz w:val="20"/>
          <w:szCs w:val="20"/>
        </w:rPr>
      </w:pPr>
    </w:p>
    <w:p w:rsidR="008153FC" w:rsidRDefault="00015658">
      <w:pPr>
        <w:numPr>
          <w:ilvl w:val="0"/>
          <w:numId w:val="1"/>
        </w:numPr>
        <w:tabs>
          <w:tab w:val="left" w:pos="420"/>
        </w:tabs>
        <w:ind w:left="420" w:hanging="41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Переведення картки послуги «ВФ Передплата» на контрактну форму обслуговування здійснюється безкоштовно.</w:t>
      </w:r>
    </w:p>
    <w:p w:rsidR="008153FC" w:rsidRDefault="008153FC">
      <w:pPr>
        <w:spacing w:line="72" w:lineRule="exact"/>
        <w:rPr>
          <w:rFonts w:eastAsia="Times New Roman"/>
          <w:sz w:val="20"/>
          <w:szCs w:val="20"/>
        </w:rPr>
      </w:pPr>
    </w:p>
    <w:p w:rsidR="008153FC" w:rsidRDefault="00015658">
      <w:pPr>
        <w:numPr>
          <w:ilvl w:val="0"/>
          <w:numId w:val="1"/>
        </w:numPr>
        <w:tabs>
          <w:tab w:val="left" w:pos="420"/>
        </w:tabs>
        <w:spacing w:line="264" w:lineRule="auto"/>
        <w:ind w:left="420" w:hanging="41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Остаточний баланс рахунку послуги «ВФ Передплата» по номеру, що було переведено, формується протягом не більше ніж 5 (п’ять) робочих днів з моменту переведення. Сформований остаточний баланс (як </w:t>
      </w:r>
      <w:r>
        <w:rPr>
          <w:rFonts w:eastAsia="Times New Roman"/>
          <w:sz w:val="20"/>
          <w:szCs w:val="20"/>
          <w:u w:val="single"/>
        </w:rPr>
        <w:t>позитивний</w:t>
      </w:r>
      <w:r>
        <w:rPr>
          <w:rFonts w:eastAsia="Times New Roman"/>
          <w:sz w:val="20"/>
          <w:szCs w:val="20"/>
        </w:rPr>
        <w:t>, так і негативний), буде автоматично перенесено при формуванні найближчого місячного контрактного рахунку абонента.</w:t>
      </w:r>
    </w:p>
    <w:p w:rsidR="008153FC" w:rsidRDefault="008153FC">
      <w:pPr>
        <w:spacing w:line="23" w:lineRule="exact"/>
        <w:rPr>
          <w:rFonts w:eastAsia="Times New Roman"/>
          <w:sz w:val="20"/>
          <w:szCs w:val="20"/>
        </w:rPr>
      </w:pPr>
    </w:p>
    <w:p w:rsidR="008153FC" w:rsidRDefault="00015658">
      <w:pPr>
        <w:numPr>
          <w:ilvl w:val="0"/>
          <w:numId w:val="1"/>
        </w:numPr>
        <w:tabs>
          <w:tab w:val="left" w:pos="420"/>
        </w:tabs>
        <w:spacing w:line="257" w:lineRule="auto"/>
        <w:ind w:left="420" w:hanging="41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Перенесення коштів з рахунку послуги «ВФ Передплата» на особовий рахунок контрактного абонента відбувається шляхом надання знижки у розмірі суми, що підлягає перенесенню. Вона відображається в першому місячному рахунку по завершенню місяця переведення, якщо міграція була здійсненна не пізніше ніж за 5 днів до початку наступного календарного місяця. Якщо міграція була здійсненна пізніше ніж за 5 днів до початку наступного календарного місяця, знижка буде відображена в наступному місячному рахунку.</w:t>
      </w:r>
    </w:p>
    <w:p w:rsidR="008153FC" w:rsidRDefault="008153FC">
      <w:pPr>
        <w:spacing w:line="26" w:lineRule="exact"/>
        <w:rPr>
          <w:rFonts w:eastAsia="Times New Roman"/>
          <w:sz w:val="20"/>
          <w:szCs w:val="20"/>
        </w:rPr>
      </w:pPr>
    </w:p>
    <w:p w:rsidR="008153FC" w:rsidRDefault="00015658">
      <w:pPr>
        <w:numPr>
          <w:ilvl w:val="0"/>
          <w:numId w:val="1"/>
        </w:numPr>
        <w:tabs>
          <w:tab w:val="left" w:pos="420"/>
        </w:tabs>
        <w:spacing w:line="257" w:lineRule="auto"/>
        <w:ind w:left="420" w:hanging="41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 разі якщо сума, що переноситься, більше ніж щомісячна вартість пакету, то вказану знижку у розмірі щомісячної вартості пакету буде надано протягом кількох місячних рахунків до остаточного перенесення суми залишку. У разі, якщо щомісячна вартість пакету відсутня (у випадку нульової вартості тарифного пакету) щомісячна знижка на послуги зв’язку надаватиметься у розмірі 10 грн. протягом кількох місячних рахунків до остаточного перенесення суми залишку.</w:t>
      </w:r>
    </w:p>
    <w:p w:rsidR="008153FC" w:rsidRDefault="008153FC">
      <w:pPr>
        <w:spacing w:line="30" w:lineRule="exact"/>
        <w:rPr>
          <w:rFonts w:eastAsia="Times New Roman"/>
          <w:sz w:val="20"/>
          <w:szCs w:val="20"/>
        </w:rPr>
      </w:pPr>
    </w:p>
    <w:p w:rsidR="008153FC" w:rsidRDefault="00015658">
      <w:pPr>
        <w:numPr>
          <w:ilvl w:val="0"/>
          <w:numId w:val="1"/>
        </w:numPr>
        <w:tabs>
          <w:tab w:val="left" w:pos="420"/>
        </w:tabs>
        <w:spacing w:line="273" w:lineRule="auto"/>
        <w:ind w:left="420" w:hanging="41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Залишок, перенесений з рахунку «ВФ Передплата» на контрактний рахунок може бути використаний тільки на послуги мобільного зв'язку в межах одного особового рахунку.</w:t>
      </w:r>
    </w:p>
    <w:p w:rsidR="00274402" w:rsidRDefault="00274402">
      <w:pPr>
        <w:tabs>
          <w:tab w:val="left" w:pos="7500"/>
        </w:tabs>
        <w:ind w:left="2280"/>
        <w:rPr>
          <w:rFonts w:eastAsia="Times New Roman"/>
          <w:sz w:val="20"/>
          <w:szCs w:val="20"/>
        </w:rPr>
      </w:pPr>
    </w:p>
    <w:p w:rsidR="00274402" w:rsidRDefault="00274402">
      <w:pPr>
        <w:tabs>
          <w:tab w:val="left" w:pos="7500"/>
        </w:tabs>
        <w:ind w:left="2280"/>
        <w:rPr>
          <w:rFonts w:eastAsia="Times New Roman"/>
          <w:sz w:val="20"/>
          <w:szCs w:val="20"/>
        </w:rPr>
      </w:pPr>
    </w:p>
    <w:p w:rsidR="00274402" w:rsidRDefault="00274402">
      <w:pPr>
        <w:tabs>
          <w:tab w:val="left" w:pos="7500"/>
        </w:tabs>
        <w:ind w:left="2280"/>
        <w:rPr>
          <w:rFonts w:eastAsia="Times New Roman"/>
          <w:sz w:val="20"/>
          <w:szCs w:val="20"/>
        </w:rPr>
      </w:pPr>
    </w:p>
    <w:p w:rsidR="00274402" w:rsidRDefault="00274402">
      <w:pPr>
        <w:tabs>
          <w:tab w:val="left" w:pos="7500"/>
        </w:tabs>
        <w:ind w:left="2280"/>
        <w:rPr>
          <w:rFonts w:eastAsia="Times New Roman"/>
          <w:sz w:val="20"/>
          <w:szCs w:val="20"/>
        </w:rPr>
      </w:pPr>
    </w:p>
    <w:p w:rsidR="00274402" w:rsidRDefault="00274402">
      <w:pPr>
        <w:tabs>
          <w:tab w:val="left" w:pos="7500"/>
        </w:tabs>
        <w:ind w:left="2280"/>
        <w:rPr>
          <w:rFonts w:eastAsia="Times New Roman"/>
          <w:sz w:val="20"/>
          <w:szCs w:val="20"/>
        </w:rPr>
      </w:pPr>
    </w:p>
    <w:p w:rsidR="008153FC" w:rsidRDefault="00274402" w:rsidP="00274402">
      <w:pPr>
        <w:tabs>
          <w:tab w:val="left" w:pos="750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_______________        ________________</w:t>
      </w:r>
      <w:r>
        <w:rPr>
          <w:sz w:val="20"/>
          <w:szCs w:val="20"/>
        </w:rPr>
        <w:t xml:space="preserve">                                     </w:t>
      </w:r>
      <w:r>
        <w:rPr>
          <w:rFonts w:eastAsia="Times New Roman"/>
          <w:sz w:val="20"/>
          <w:szCs w:val="20"/>
        </w:rPr>
        <w:t>_______________        ________________</w:t>
      </w:r>
    </w:p>
    <w:p w:rsidR="008153FC" w:rsidRDefault="00274402">
      <w:pPr>
        <w:tabs>
          <w:tab w:val="left" w:pos="1400"/>
          <w:tab w:val="left" w:pos="6360"/>
          <w:tab w:val="left" w:pos="7060"/>
        </w:tabs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 xml:space="preserve">                       </w:t>
      </w:r>
      <w:r w:rsidR="00015658">
        <w:rPr>
          <w:rFonts w:eastAsia="Times New Roman"/>
          <w:sz w:val="13"/>
          <w:szCs w:val="13"/>
        </w:rPr>
        <w:t>дата</w:t>
      </w:r>
      <w:r>
        <w:rPr>
          <w:sz w:val="20"/>
          <w:szCs w:val="20"/>
        </w:rPr>
        <w:t xml:space="preserve">                                  </w:t>
      </w:r>
      <w:r w:rsidR="00015658">
        <w:rPr>
          <w:rFonts w:eastAsia="Times New Roman"/>
          <w:sz w:val="13"/>
          <w:szCs w:val="13"/>
        </w:rPr>
        <w:t>підпис</w:t>
      </w:r>
      <w:r>
        <w:rPr>
          <w:sz w:val="20"/>
          <w:szCs w:val="20"/>
        </w:rPr>
        <w:t xml:space="preserve">                                                             </w:t>
      </w:r>
      <w:r w:rsidR="00015658">
        <w:rPr>
          <w:rFonts w:eastAsia="Times New Roman"/>
          <w:sz w:val="13"/>
          <w:szCs w:val="13"/>
        </w:rPr>
        <w:t>дата</w:t>
      </w:r>
      <w:r w:rsidR="0001565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</w:t>
      </w:r>
      <w:r w:rsidR="00015658">
        <w:rPr>
          <w:rFonts w:eastAsia="Times New Roman"/>
          <w:sz w:val="13"/>
          <w:szCs w:val="13"/>
        </w:rPr>
        <w:t>підпис</w:t>
      </w:r>
    </w:p>
    <w:p w:rsidR="008153FC" w:rsidRDefault="008153FC">
      <w:pPr>
        <w:spacing w:line="200" w:lineRule="exact"/>
        <w:rPr>
          <w:sz w:val="24"/>
          <w:szCs w:val="24"/>
        </w:rPr>
      </w:pPr>
    </w:p>
    <w:sectPr w:rsidR="008153FC">
      <w:pgSz w:w="11900" w:h="16834"/>
      <w:pgMar w:top="1271" w:right="560" w:bottom="321" w:left="560" w:header="0" w:footer="0" w:gutter="0"/>
      <w:cols w:space="720" w:equalWidth="0">
        <w:col w:w="10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B23C6"/>
    <w:multiLevelType w:val="hybridMultilevel"/>
    <w:tmpl w:val="49825564"/>
    <w:lvl w:ilvl="0" w:tplc="63ECE0BA">
      <w:start w:val="1"/>
      <w:numFmt w:val="decimal"/>
      <w:lvlText w:val="%1."/>
      <w:lvlJc w:val="left"/>
    </w:lvl>
    <w:lvl w:ilvl="1" w:tplc="FBFCA538">
      <w:numFmt w:val="decimal"/>
      <w:lvlText w:val=""/>
      <w:lvlJc w:val="left"/>
    </w:lvl>
    <w:lvl w:ilvl="2" w:tplc="EB48E294">
      <w:numFmt w:val="decimal"/>
      <w:lvlText w:val=""/>
      <w:lvlJc w:val="left"/>
    </w:lvl>
    <w:lvl w:ilvl="3" w:tplc="FA74FE4A">
      <w:numFmt w:val="decimal"/>
      <w:lvlText w:val=""/>
      <w:lvlJc w:val="left"/>
    </w:lvl>
    <w:lvl w:ilvl="4" w:tplc="F96C5C8E">
      <w:numFmt w:val="decimal"/>
      <w:lvlText w:val=""/>
      <w:lvlJc w:val="left"/>
    </w:lvl>
    <w:lvl w:ilvl="5" w:tplc="3146D5E6">
      <w:numFmt w:val="decimal"/>
      <w:lvlText w:val=""/>
      <w:lvlJc w:val="left"/>
    </w:lvl>
    <w:lvl w:ilvl="6" w:tplc="537E9DE2">
      <w:numFmt w:val="decimal"/>
      <w:lvlText w:val=""/>
      <w:lvlJc w:val="left"/>
    </w:lvl>
    <w:lvl w:ilvl="7" w:tplc="68783A30">
      <w:numFmt w:val="decimal"/>
      <w:lvlText w:val=""/>
      <w:lvlJc w:val="left"/>
    </w:lvl>
    <w:lvl w:ilvl="8" w:tplc="90688F7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FC"/>
    <w:rsid w:val="00015658"/>
    <w:rsid w:val="001052CB"/>
    <w:rsid w:val="00274402"/>
    <w:rsid w:val="00666531"/>
    <w:rsid w:val="008153FC"/>
    <w:rsid w:val="00F1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ADC4E-754A-4562-846D-CC9E1783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758B4D5F</Template>
  <TotalTime>0</TotalTime>
  <Pages>1</Pages>
  <Words>2584</Words>
  <Characters>1474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Sukhar Roman</cp:lastModifiedBy>
  <cp:revision>2</cp:revision>
  <dcterms:created xsi:type="dcterms:W3CDTF">2017-07-07T05:54:00Z</dcterms:created>
  <dcterms:modified xsi:type="dcterms:W3CDTF">2017-07-07T05:54:00Z</dcterms:modified>
</cp:coreProperties>
</file>